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E4" w:rsidRDefault="00F064E4" w:rsidP="00F064E4">
      <w:pPr>
        <w:pStyle w:val="DPSHeading1"/>
        <w:rPr>
          <w:rFonts w:eastAsiaTheme="majorEastAsia" w:cstheme="majorBidi"/>
          <w:bCs/>
          <w:color w:val="003B5C"/>
        </w:rPr>
      </w:pPr>
      <w:r>
        <w:rPr>
          <w:rFonts w:eastAsiaTheme="majorEastAsia" w:cstheme="majorBidi"/>
          <w:bCs/>
          <w:color w:val="003B5C"/>
        </w:rPr>
        <w:t xml:space="preserve">Logistics Guideline </w:t>
      </w:r>
    </w:p>
    <w:p w:rsidR="00F064E4" w:rsidRPr="007E4874" w:rsidRDefault="00F064E4" w:rsidP="00F064E4">
      <w:pPr>
        <w:rPr>
          <w:lang w:eastAsia="en-AU"/>
        </w:rPr>
      </w:pPr>
    </w:p>
    <w:p w:rsidR="00F064E4" w:rsidRDefault="00F064E4" w:rsidP="00F064E4">
      <w:pPr>
        <w:rPr>
          <w:lang w:eastAsia="en-AU"/>
        </w:rPr>
      </w:pPr>
      <w:r>
        <w:rPr>
          <w:lang w:eastAsia="en-AU"/>
        </w:rPr>
        <w:t xml:space="preserve"> These guidelines have been developed to provide assistance to Event Manager coordinating event logistics in APH. </w:t>
      </w:r>
    </w:p>
    <w:p w:rsidR="00F064E4" w:rsidRPr="00080365" w:rsidRDefault="00F064E4" w:rsidP="00F064E4">
      <w:pPr>
        <w:pStyle w:val="DPSHeading2"/>
        <w:rPr>
          <w:rFonts w:asciiTheme="minorHAnsi" w:hAnsiTheme="minorHAnsi"/>
        </w:rPr>
      </w:pPr>
      <w:r w:rsidRPr="00080365">
        <w:rPr>
          <w:rFonts w:asciiTheme="minorHAnsi" w:hAnsiTheme="minorHAnsi"/>
        </w:rPr>
        <w:t xml:space="preserve">General </w:t>
      </w:r>
    </w:p>
    <w:p w:rsidR="00F064E4" w:rsidRPr="001F3A78" w:rsidRDefault="00F064E4" w:rsidP="00F064E4">
      <w:pPr>
        <w:spacing w:line="240" w:lineRule="auto"/>
        <w:rPr>
          <w:i/>
        </w:rPr>
      </w:pPr>
      <w:r w:rsidRPr="002D3EB9">
        <w:rPr>
          <w:rFonts w:eastAsiaTheme="majorEastAsia" w:cstheme="majorBidi"/>
          <w:bCs/>
        </w:rPr>
        <w:t xml:space="preserve"> </w:t>
      </w:r>
      <w:r w:rsidRPr="00895B32">
        <w:rPr>
          <w:rFonts w:eastAsiaTheme="majorEastAsia" w:cstheme="majorBidi"/>
          <w:bCs/>
        </w:rPr>
        <w:t>All goo</w:t>
      </w:r>
      <w:r>
        <w:rPr>
          <w:rFonts w:eastAsiaTheme="majorEastAsia" w:cstheme="majorBidi"/>
          <w:bCs/>
        </w:rPr>
        <w:t xml:space="preserve">ds, materials, tools, equipment, waste </w:t>
      </w:r>
      <w:r w:rsidRPr="00895B32">
        <w:rPr>
          <w:rFonts w:eastAsiaTheme="majorEastAsia" w:cstheme="majorBidi"/>
          <w:bCs/>
        </w:rPr>
        <w:t xml:space="preserve">and debris should be delivered and removed through the APH Loading Dock. </w:t>
      </w:r>
      <w:r>
        <w:t>Goods</w:t>
      </w:r>
      <w:r w:rsidRPr="001F3A78">
        <w:t xml:space="preserve"> </w:t>
      </w:r>
      <w:r>
        <w:t xml:space="preserve">that </w:t>
      </w:r>
      <w:r w:rsidRPr="00795BC4">
        <w:rPr>
          <w:rFonts w:eastAsiaTheme="majorEastAsia" w:cstheme="majorBidi"/>
          <w:bCs/>
        </w:rPr>
        <w:t>cannot</w:t>
      </w:r>
      <w:r w:rsidRPr="001F3A78">
        <w:t xml:space="preserve"> be screened at building entrances </w:t>
      </w:r>
      <w:r w:rsidRPr="00D23C49">
        <w:t xml:space="preserve">(600m x 400mm maximum) </w:t>
      </w:r>
      <w:r>
        <w:t xml:space="preserve">may </w:t>
      </w:r>
      <w:r w:rsidRPr="001F3A78">
        <w:t>be refused entry and redirected to the Loading Dock</w:t>
      </w:r>
      <w:r>
        <w:t>.</w:t>
      </w:r>
    </w:p>
    <w:p w:rsidR="00F064E4" w:rsidRPr="00080365" w:rsidRDefault="00F064E4" w:rsidP="002325B3">
      <w:pPr>
        <w:spacing w:after="120"/>
      </w:pPr>
      <w:r>
        <w:rPr>
          <w:rFonts w:eastAsia="Times New Roman" w:cs="Arial"/>
          <w:b/>
          <w:sz w:val="24"/>
          <w:szCs w:val="24"/>
          <w:lang w:eastAsia="en-AU"/>
        </w:rPr>
        <w:t>Operating hours</w:t>
      </w:r>
    </w:p>
    <w:p w:rsidR="00F064E4" w:rsidRDefault="00F064E4" w:rsidP="00F064E4">
      <w:pPr>
        <w:ind w:left="567" w:hanging="567"/>
      </w:pPr>
      <w:r w:rsidRPr="001F3A78">
        <w:t xml:space="preserve">The Loading Dock </w:t>
      </w:r>
      <w:r>
        <w:t>operates from 7:00am to 4</w:t>
      </w:r>
      <w:r w:rsidRPr="001F3A78">
        <w:t>:45pm, Monday to Friday</w:t>
      </w:r>
      <w:r>
        <w:t xml:space="preserve"> </w:t>
      </w:r>
      <w:r w:rsidRPr="00155F9A">
        <w:t>(excluding Public Holidays)</w:t>
      </w:r>
      <w:r w:rsidRPr="001F3A78">
        <w:t>.</w:t>
      </w:r>
      <w:r>
        <w:t xml:space="preserve"> </w:t>
      </w:r>
    </w:p>
    <w:p w:rsidR="00F064E4" w:rsidRPr="001F3A78" w:rsidRDefault="00F064E4" w:rsidP="00F064E4">
      <w:pPr>
        <w:spacing w:line="240" w:lineRule="auto"/>
      </w:pPr>
      <w:r>
        <w:t xml:space="preserve">Requests to open the Loading Dock outside of these hours require a </w:t>
      </w:r>
      <w:r w:rsidRPr="00795BC4">
        <w:rPr>
          <w:b/>
        </w:rPr>
        <w:t>minimum of 5-days’ notice</w:t>
      </w:r>
      <w:r>
        <w:t xml:space="preserve">. </w:t>
      </w:r>
      <w:r w:rsidRPr="001F3A78">
        <w:t>The contractor will be responsible for meeting all costs associated with afterhours opening of the Loading Dock.</w:t>
      </w:r>
    </w:p>
    <w:p w:rsidR="00F064E4" w:rsidRDefault="00F064E4" w:rsidP="00F064E4">
      <w:pPr>
        <w:spacing w:after="120"/>
        <w:ind w:left="567" w:hanging="567"/>
        <w:rPr>
          <w:rFonts w:eastAsia="Times New Roman" w:cs="Arial"/>
          <w:b/>
          <w:sz w:val="24"/>
          <w:szCs w:val="24"/>
          <w:lang w:eastAsia="en-AU"/>
        </w:rPr>
      </w:pPr>
      <w:r w:rsidRPr="00795BC4">
        <w:rPr>
          <w:rFonts w:eastAsia="Times New Roman" w:cs="Arial"/>
          <w:b/>
          <w:sz w:val="24"/>
          <w:szCs w:val="24"/>
          <w:lang w:eastAsia="en-AU"/>
        </w:rPr>
        <w:t>Pre-delivery advice</w:t>
      </w:r>
    </w:p>
    <w:p w:rsidR="00F064E4" w:rsidRDefault="00F064E4" w:rsidP="00F064E4">
      <w:pPr>
        <w:spacing w:line="240" w:lineRule="auto"/>
      </w:pPr>
      <w:r>
        <w:t>All d</w:t>
      </w:r>
      <w:r w:rsidRPr="001F3A78">
        <w:t xml:space="preserve">eliveries </w:t>
      </w:r>
      <w:r w:rsidRPr="00895B32">
        <w:rPr>
          <w:rFonts w:eastAsiaTheme="majorEastAsia" w:cstheme="majorBidi"/>
          <w:bCs/>
        </w:rPr>
        <w:t>to the Loading Dock</w:t>
      </w:r>
      <w:r>
        <w:t xml:space="preserve"> must be scheduled with a minimum of 24-hours’ notice</w:t>
      </w:r>
      <w:r w:rsidRPr="001F3A78">
        <w:t>.</w:t>
      </w:r>
      <w:r>
        <w:t xml:space="preserve"> </w:t>
      </w:r>
    </w:p>
    <w:p w:rsidR="00F064E4" w:rsidRPr="00895B32" w:rsidRDefault="00F064E4" w:rsidP="00F064E4">
      <w:pPr>
        <w:spacing w:line="240" w:lineRule="auto"/>
      </w:pPr>
      <w:r>
        <w:t xml:space="preserve">Deliveries of bulk goods (e.g. </w:t>
      </w:r>
      <w:r w:rsidRPr="00D23C49">
        <w:t>large quantities of oversized goods such as furniture, machinery, palletised goods, building materials</w:t>
      </w:r>
      <w:r>
        <w:t xml:space="preserve">) require up to 5-days’ notice. </w:t>
      </w:r>
      <w:r w:rsidRPr="00895B32">
        <w:t xml:space="preserve">For </w:t>
      </w:r>
      <w:r>
        <w:t>unusual or very large items (e.g. custom stage sets)</w:t>
      </w:r>
      <w:r w:rsidRPr="00895B32">
        <w:t xml:space="preserve"> please attach photos and approximate dimensions of the items to the booking.</w:t>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 xml:space="preserve">Receipt and </w:t>
      </w:r>
      <w:r w:rsidRPr="00795BC4">
        <w:rPr>
          <w:rFonts w:eastAsiaTheme="majorEastAsia" w:cstheme="majorBidi"/>
          <w:bCs/>
        </w:rPr>
        <w:t>distribution</w:t>
      </w:r>
      <w:r w:rsidRPr="00895B32">
        <w:rPr>
          <w:rFonts w:eastAsiaTheme="majorEastAsia" w:cstheme="majorBidi"/>
          <w:bCs/>
        </w:rPr>
        <w:t xml:space="preserve"> of goods with</w:t>
      </w:r>
      <w:r>
        <w:rPr>
          <w:rFonts w:eastAsiaTheme="majorEastAsia" w:cstheme="majorBidi"/>
          <w:bCs/>
        </w:rPr>
        <w:t xml:space="preserve"> ins</w:t>
      </w:r>
      <w:r w:rsidRPr="00895B32">
        <w:rPr>
          <w:rFonts w:eastAsiaTheme="majorEastAsia" w:cstheme="majorBidi"/>
          <w:bCs/>
        </w:rPr>
        <w:t>ufficient notice will be processed behind that of any priority deliveries and will be attended to on a ‘first in-first out’ basis.</w:t>
      </w:r>
    </w:p>
    <w:p w:rsidR="00F064E4" w:rsidRPr="00795BC4" w:rsidRDefault="00F064E4" w:rsidP="00F064E4">
      <w:pPr>
        <w:spacing w:line="240" w:lineRule="auto"/>
        <w:rPr>
          <w:rFonts w:eastAsiaTheme="majorEastAsia" w:cstheme="majorBidi"/>
          <w:bCs/>
        </w:rPr>
      </w:pPr>
      <w:r w:rsidRPr="00795BC4">
        <w:rPr>
          <w:rFonts w:eastAsiaTheme="majorEastAsia" w:cstheme="majorBidi"/>
          <w:bCs/>
        </w:rPr>
        <w:t>Same-day delivery appointments will not be accepted and vehicles may be refused entry.</w:t>
      </w:r>
    </w:p>
    <w:p w:rsidR="00F064E4" w:rsidRPr="00895B32" w:rsidRDefault="00F064E4" w:rsidP="00F064E4">
      <w:pPr>
        <w:spacing w:line="240" w:lineRule="auto"/>
        <w:rPr>
          <w:rFonts w:eastAsiaTheme="majorEastAsia" w:cstheme="majorBidi"/>
          <w:bCs/>
        </w:rPr>
      </w:pPr>
      <w:r>
        <w:rPr>
          <w:rFonts w:eastAsiaTheme="majorEastAsia" w:cstheme="majorBidi"/>
          <w:bCs/>
        </w:rPr>
        <w:t>D</w:t>
      </w:r>
      <w:r w:rsidRPr="00895B32">
        <w:rPr>
          <w:rFonts w:eastAsiaTheme="majorEastAsia" w:cstheme="majorBidi"/>
          <w:bCs/>
        </w:rPr>
        <w:t>eliver</w:t>
      </w:r>
      <w:r>
        <w:rPr>
          <w:rFonts w:eastAsiaTheme="majorEastAsia" w:cstheme="majorBidi"/>
          <w:bCs/>
        </w:rPr>
        <w:t>ies</w:t>
      </w:r>
      <w:r w:rsidRPr="00895B32">
        <w:rPr>
          <w:rFonts w:eastAsiaTheme="majorEastAsia" w:cstheme="majorBidi"/>
          <w:bCs/>
        </w:rPr>
        <w:t xml:space="preserve"> to the Loading Dock can be made by completing </w:t>
      </w:r>
      <w:r>
        <w:rPr>
          <w:rFonts w:eastAsiaTheme="majorEastAsia" w:cstheme="majorBidi"/>
          <w:bCs/>
        </w:rPr>
        <w:t xml:space="preserve">a Booking Form (available on the DPS Intranet or by contacting your DPS Event Manager) </w:t>
      </w:r>
      <w:r w:rsidRPr="00895B32">
        <w:rPr>
          <w:rFonts w:eastAsiaTheme="majorEastAsia" w:cstheme="majorBidi"/>
          <w:bCs/>
        </w:rPr>
        <w:t xml:space="preserve">and </w:t>
      </w:r>
      <w:r w:rsidRPr="00795BC4">
        <w:t>submitting</w:t>
      </w:r>
      <w:r w:rsidRPr="00895B32">
        <w:rPr>
          <w:rFonts w:eastAsiaTheme="majorEastAsia" w:cstheme="majorBidi"/>
          <w:bCs/>
        </w:rPr>
        <w:t xml:space="preserve"> </w:t>
      </w:r>
      <w:r>
        <w:rPr>
          <w:rFonts w:eastAsiaTheme="majorEastAsia" w:cstheme="majorBidi"/>
          <w:bCs/>
        </w:rPr>
        <w:t xml:space="preserve">it to </w:t>
      </w:r>
      <w:r w:rsidRPr="00895B32">
        <w:rPr>
          <w:rFonts w:eastAsiaTheme="majorEastAsia" w:cstheme="majorBidi"/>
          <w:bCs/>
        </w:rPr>
        <w:t>Loading Dock: loadingdock@aph.gov.au</w:t>
      </w:r>
      <w:r>
        <w:rPr>
          <w:rFonts w:eastAsiaTheme="majorEastAsia" w:cstheme="majorBidi"/>
          <w:bCs/>
        </w:rPr>
        <w:t>.</w:t>
      </w:r>
    </w:p>
    <w:p w:rsidR="00F064E4" w:rsidRDefault="00F064E4" w:rsidP="00F064E4">
      <w:pPr>
        <w:spacing w:line="240" w:lineRule="auto"/>
        <w:rPr>
          <w:rFonts w:eastAsiaTheme="majorEastAsia" w:cstheme="majorBidi"/>
          <w:bCs/>
        </w:rPr>
      </w:pPr>
      <w:r w:rsidRPr="00895B32">
        <w:rPr>
          <w:rFonts w:eastAsiaTheme="majorEastAsia" w:cstheme="majorBidi"/>
          <w:bCs/>
        </w:rPr>
        <w:t xml:space="preserve">All deliveries must specify a basement set down point.  </w:t>
      </w:r>
    </w:p>
    <w:p w:rsidR="00F064E4" w:rsidRPr="00895B32" w:rsidRDefault="00F064E4" w:rsidP="00F064E4">
      <w:pPr>
        <w:spacing w:line="240" w:lineRule="auto"/>
      </w:pPr>
      <w:r w:rsidRPr="00895B32">
        <w:t>The maximum width of the basement is 2300 mm</w:t>
      </w:r>
    </w:p>
    <w:p w:rsidR="00F064E4" w:rsidRPr="00895B32" w:rsidRDefault="00F064E4" w:rsidP="00F064E4">
      <w:pPr>
        <w:spacing w:line="240" w:lineRule="auto"/>
      </w:pPr>
      <w:r w:rsidRPr="00895B32">
        <w:t>The maximum height in the basement is 2500 mm.</w:t>
      </w:r>
    </w:p>
    <w:p w:rsidR="00F064E4" w:rsidRPr="002D3EB9" w:rsidRDefault="00F064E4" w:rsidP="00F064E4">
      <w:pPr>
        <w:spacing w:after="120"/>
        <w:ind w:left="567" w:hanging="567"/>
        <w:rPr>
          <w:rFonts w:eastAsia="Times New Roman" w:cs="Arial"/>
          <w:b/>
          <w:sz w:val="24"/>
          <w:szCs w:val="24"/>
          <w:lang w:eastAsia="en-AU"/>
        </w:rPr>
      </w:pPr>
      <w:r w:rsidRPr="002D3EB9">
        <w:rPr>
          <w:rFonts w:eastAsia="Times New Roman" w:cs="Arial"/>
          <w:b/>
          <w:sz w:val="24"/>
          <w:szCs w:val="24"/>
          <w:lang w:eastAsia="en-AU"/>
        </w:rPr>
        <w:t>Access to the Loading Dock</w:t>
      </w:r>
    </w:p>
    <w:p w:rsidR="00F064E4" w:rsidRDefault="00F064E4" w:rsidP="00F064E4">
      <w:pPr>
        <w:spacing w:line="240" w:lineRule="auto"/>
        <w:rPr>
          <w:rFonts w:eastAsiaTheme="majorEastAsia" w:cstheme="majorBidi"/>
          <w:bCs/>
        </w:rPr>
      </w:pPr>
      <w:r w:rsidRPr="00895B32">
        <w:rPr>
          <w:rFonts w:eastAsiaTheme="majorEastAsia" w:cstheme="majorBidi"/>
          <w:bCs/>
        </w:rPr>
        <w:t xml:space="preserve">Access to the Loading </w:t>
      </w:r>
      <w:r w:rsidRPr="00795BC4">
        <w:t>Dock</w:t>
      </w:r>
      <w:r w:rsidRPr="00895B32">
        <w:rPr>
          <w:rFonts w:eastAsiaTheme="majorEastAsia" w:cstheme="majorBidi"/>
          <w:bCs/>
        </w:rPr>
        <w:t xml:space="preserve"> is via a service road that connects the Loading Dock to the junction of </w:t>
      </w:r>
      <w:r w:rsidRPr="00795BC4">
        <w:rPr>
          <w:b/>
        </w:rPr>
        <w:t>Brisbane Ave</w:t>
      </w:r>
      <w:r w:rsidRPr="00795BC4">
        <w:t xml:space="preserve"> and </w:t>
      </w:r>
      <w:r w:rsidRPr="00795BC4">
        <w:rPr>
          <w:b/>
        </w:rPr>
        <w:t>State Circle</w:t>
      </w:r>
      <w:r w:rsidRPr="00795BC4">
        <w:t>.</w:t>
      </w:r>
    </w:p>
    <w:p w:rsidR="006B037C" w:rsidRDefault="006B037C"/>
    <w:p w:rsidR="00F064E4" w:rsidRDefault="00F064E4"/>
    <w:p w:rsidR="00F064E4" w:rsidRDefault="00F064E4"/>
    <w:p w:rsidR="00F064E4" w:rsidRPr="00430C3B" w:rsidRDefault="00F064E4" w:rsidP="00F064E4">
      <w:pPr>
        <w:jc w:val="center"/>
        <w:rPr>
          <w:b/>
        </w:rPr>
      </w:pPr>
      <w:r w:rsidRPr="00895B32">
        <w:rPr>
          <w:noProof/>
          <w:lang w:eastAsia="en-AU"/>
        </w:rPr>
        <w:lastRenderedPageBreak/>
        <w:drawing>
          <wp:inline distT="0" distB="0" distL="0" distR="0" wp14:anchorId="3FDDE52D" wp14:editId="3EADC3CB">
            <wp:extent cx="4615891" cy="4655654"/>
            <wp:effectExtent l="0" t="0" r="0" b="0"/>
            <wp:docPr id="3" name="Picture 3" descr="\\home6\fenechm$\My Documents\My Picture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6\fenechm$\My Documents\My Pictures\Cap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7073" cy="4656846"/>
                    </a:xfrm>
                    <a:prstGeom prst="rect">
                      <a:avLst/>
                    </a:prstGeom>
                    <a:noFill/>
                    <a:ln>
                      <a:noFill/>
                    </a:ln>
                  </pic:spPr>
                </pic:pic>
              </a:graphicData>
            </a:graphic>
          </wp:inline>
        </w:drawing>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 xml:space="preserve">Contractors/clients </w:t>
      </w:r>
      <w:r w:rsidRPr="00795BC4">
        <w:t>must</w:t>
      </w:r>
      <w:r w:rsidRPr="00895B32">
        <w:rPr>
          <w:rFonts w:eastAsiaTheme="majorEastAsia" w:cstheme="majorBidi"/>
          <w:bCs/>
        </w:rPr>
        <w:t xml:space="preserve"> ensure that drivers of their delivery vehicles are aware that: </w:t>
      </w:r>
    </w:p>
    <w:p w:rsidR="00F064E4" w:rsidRPr="00895B32" w:rsidRDefault="00F064E4" w:rsidP="00F064E4">
      <w:pPr>
        <w:spacing w:line="240" w:lineRule="auto"/>
        <w:ind w:left="720"/>
        <w:rPr>
          <w:rFonts w:eastAsiaTheme="majorEastAsia" w:cstheme="majorBidi"/>
          <w:bCs/>
        </w:rPr>
      </w:pPr>
      <w:r w:rsidRPr="00895B32">
        <w:rPr>
          <w:rFonts w:eastAsiaTheme="majorEastAsia" w:cstheme="majorBidi"/>
          <w:bCs/>
        </w:rPr>
        <w:t>(a)</w:t>
      </w:r>
      <w:r w:rsidRPr="00895B32">
        <w:rPr>
          <w:rFonts w:eastAsiaTheme="majorEastAsia" w:cstheme="majorBidi"/>
          <w:bCs/>
        </w:rPr>
        <w:tab/>
        <w:t>They must:</w:t>
      </w:r>
    </w:p>
    <w:p w:rsidR="00F064E4" w:rsidRDefault="00F064E4" w:rsidP="00F064E4">
      <w:pPr>
        <w:pStyle w:val="ListParagraph"/>
        <w:numPr>
          <w:ilvl w:val="0"/>
          <w:numId w:val="2"/>
        </w:numPr>
        <w:ind w:left="2160"/>
        <w:rPr>
          <w:rFonts w:eastAsiaTheme="majorEastAsia" w:cstheme="majorBidi"/>
          <w:bCs/>
        </w:rPr>
      </w:pPr>
      <w:r>
        <w:rPr>
          <w:rFonts w:eastAsiaTheme="majorEastAsia" w:cstheme="majorBidi"/>
          <w:bCs/>
        </w:rPr>
        <w:t>s</w:t>
      </w:r>
      <w:r w:rsidRPr="002D3EB9">
        <w:rPr>
          <w:rFonts w:eastAsiaTheme="majorEastAsia" w:cstheme="majorBidi"/>
          <w:bCs/>
        </w:rPr>
        <w:t>top at the ‘stop sign’ and only proceed if the Security Check Zone is clear</w:t>
      </w:r>
    </w:p>
    <w:p w:rsidR="00F064E4" w:rsidRDefault="00F064E4" w:rsidP="00F064E4">
      <w:pPr>
        <w:pStyle w:val="ListParagraph"/>
        <w:numPr>
          <w:ilvl w:val="0"/>
          <w:numId w:val="2"/>
        </w:numPr>
        <w:ind w:left="2160"/>
        <w:rPr>
          <w:rFonts w:eastAsiaTheme="majorEastAsia" w:cstheme="majorBidi"/>
          <w:bCs/>
        </w:rPr>
      </w:pPr>
      <w:r w:rsidRPr="002D3EB9">
        <w:rPr>
          <w:rFonts w:eastAsiaTheme="majorEastAsia" w:cstheme="majorBidi"/>
          <w:bCs/>
        </w:rPr>
        <w:t>stop in the Security Check Zone and wait for their vehicle details to be checked</w:t>
      </w:r>
    </w:p>
    <w:p w:rsidR="00F064E4" w:rsidRDefault="00F064E4" w:rsidP="00F064E4">
      <w:pPr>
        <w:pStyle w:val="ListParagraph"/>
        <w:numPr>
          <w:ilvl w:val="0"/>
          <w:numId w:val="2"/>
        </w:numPr>
        <w:ind w:left="2160"/>
        <w:rPr>
          <w:rFonts w:eastAsiaTheme="majorEastAsia" w:cstheme="majorBidi"/>
          <w:bCs/>
        </w:rPr>
      </w:pPr>
      <w:r w:rsidRPr="002D3EB9">
        <w:rPr>
          <w:rFonts w:eastAsiaTheme="majorEastAsia" w:cstheme="majorBidi"/>
          <w:bCs/>
        </w:rPr>
        <w:t>wait for the barrier to open before proceeding</w:t>
      </w:r>
    </w:p>
    <w:p w:rsidR="00F064E4" w:rsidRDefault="00F064E4" w:rsidP="00F064E4">
      <w:pPr>
        <w:pStyle w:val="ListParagraph"/>
        <w:numPr>
          <w:ilvl w:val="0"/>
          <w:numId w:val="2"/>
        </w:numPr>
        <w:ind w:left="2160"/>
        <w:rPr>
          <w:rFonts w:eastAsiaTheme="majorEastAsia" w:cstheme="majorBidi"/>
          <w:bCs/>
        </w:rPr>
      </w:pPr>
      <w:r>
        <w:rPr>
          <w:rFonts w:eastAsiaTheme="majorEastAsia" w:cstheme="majorBidi"/>
          <w:bCs/>
        </w:rPr>
        <w:t>g</w:t>
      </w:r>
      <w:r w:rsidRPr="002D3EB9">
        <w:rPr>
          <w:rFonts w:eastAsiaTheme="majorEastAsia" w:cstheme="majorBidi"/>
          <w:bCs/>
        </w:rPr>
        <w:t>ive way to vehicles leaving the site</w:t>
      </w:r>
    </w:p>
    <w:p w:rsidR="00F064E4" w:rsidRPr="002D3EB9" w:rsidRDefault="00F064E4" w:rsidP="00F064E4">
      <w:pPr>
        <w:pStyle w:val="ListParagraph"/>
        <w:numPr>
          <w:ilvl w:val="0"/>
          <w:numId w:val="2"/>
        </w:numPr>
        <w:spacing w:after="120"/>
        <w:ind w:left="2154" w:hanging="357"/>
        <w:rPr>
          <w:rFonts w:eastAsiaTheme="majorEastAsia" w:cstheme="majorBidi"/>
          <w:bCs/>
        </w:rPr>
      </w:pPr>
      <w:r w:rsidRPr="002D3EB9">
        <w:rPr>
          <w:rFonts w:eastAsiaTheme="majorEastAsia" w:cstheme="majorBidi"/>
          <w:bCs/>
        </w:rPr>
        <w:t>use the intercom system to contact PSS Officers if the barrier does not open within 1 minute</w:t>
      </w:r>
    </w:p>
    <w:p w:rsidR="00F064E4" w:rsidRPr="00895B32" w:rsidRDefault="00F064E4" w:rsidP="00F064E4">
      <w:pPr>
        <w:spacing w:after="120" w:line="240" w:lineRule="auto"/>
        <w:ind w:left="1440" w:hanging="720"/>
        <w:rPr>
          <w:rFonts w:eastAsiaTheme="majorEastAsia" w:cstheme="majorBidi"/>
          <w:bCs/>
        </w:rPr>
      </w:pPr>
      <w:r w:rsidRPr="00895B32">
        <w:rPr>
          <w:rFonts w:eastAsiaTheme="majorEastAsia" w:cstheme="majorBidi"/>
          <w:bCs/>
        </w:rPr>
        <w:t>(b)</w:t>
      </w:r>
      <w:r w:rsidRPr="00895B32">
        <w:rPr>
          <w:rFonts w:eastAsiaTheme="majorEastAsia" w:cstheme="majorBidi"/>
          <w:bCs/>
        </w:rPr>
        <w:tab/>
        <w:t>Only 1 vehicle can pass through the barrier at a time and the gate will be closed after each vehicle has entered</w:t>
      </w:r>
    </w:p>
    <w:p w:rsidR="00F064E4" w:rsidRPr="00895B32" w:rsidRDefault="00F064E4" w:rsidP="00F064E4">
      <w:pPr>
        <w:spacing w:after="120" w:line="240" w:lineRule="auto"/>
        <w:ind w:left="720"/>
        <w:rPr>
          <w:rFonts w:eastAsiaTheme="majorEastAsia" w:cstheme="majorBidi"/>
          <w:bCs/>
        </w:rPr>
      </w:pPr>
      <w:r w:rsidRPr="00895B32">
        <w:rPr>
          <w:rFonts w:eastAsiaTheme="majorEastAsia" w:cstheme="majorBidi"/>
          <w:bCs/>
        </w:rPr>
        <w:t>(c)</w:t>
      </w:r>
      <w:r w:rsidRPr="00895B32">
        <w:rPr>
          <w:rFonts w:eastAsiaTheme="majorEastAsia" w:cstheme="majorBidi"/>
          <w:bCs/>
        </w:rPr>
        <w:tab/>
        <w:t>Tailgating is not permitted and will be treated as a Security Breach.</w:t>
      </w:r>
    </w:p>
    <w:p w:rsidR="00F064E4" w:rsidRPr="00895B32" w:rsidRDefault="00F064E4" w:rsidP="00F064E4">
      <w:pPr>
        <w:spacing w:after="120" w:line="240" w:lineRule="auto"/>
        <w:ind w:left="1440" w:hanging="720"/>
        <w:rPr>
          <w:rFonts w:eastAsiaTheme="majorEastAsia" w:cstheme="majorBidi"/>
          <w:bCs/>
        </w:rPr>
      </w:pPr>
      <w:r>
        <w:rPr>
          <w:rFonts w:eastAsiaTheme="majorEastAsia" w:cstheme="majorBidi"/>
          <w:bCs/>
        </w:rPr>
        <w:t>(d)</w:t>
      </w:r>
      <w:r w:rsidRPr="00895B32">
        <w:rPr>
          <w:rFonts w:eastAsiaTheme="majorEastAsia" w:cstheme="majorBidi"/>
          <w:bCs/>
        </w:rPr>
        <w:tab/>
      </w:r>
      <w:r w:rsidRPr="00430C3B">
        <w:rPr>
          <w:rFonts w:eastAsiaTheme="majorEastAsia" w:cstheme="majorBidi"/>
          <w:bCs/>
        </w:rPr>
        <w:t>The Loading Dock and</w:t>
      </w:r>
      <w:r w:rsidRPr="00895B32">
        <w:rPr>
          <w:rFonts w:eastAsiaTheme="majorEastAsia" w:cstheme="majorBidi"/>
          <w:bCs/>
        </w:rPr>
        <w:t xml:space="preserve"> associated road ways are considered ‘shared zones’ and a speed limit of 5Km/h </w:t>
      </w:r>
      <w:r>
        <w:rPr>
          <w:rFonts w:eastAsiaTheme="majorEastAsia" w:cstheme="majorBidi"/>
          <w:bCs/>
        </w:rPr>
        <w:t>must be</w:t>
      </w:r>
      <w:r w:rsidRPr="00895B32">
        <w:rPr>
          <w:rFonts w:eastAsiaTheme="majorEastAsia" w:cstheme="majorBidi"/>
          <w:bCs/>
        </w:rPr>
        <w:t xml:space="preserve"> adhered to</w:t>
      </w:r>
      <w:r>
        <w:rPr>
          <w:rFonts w:eastAsiaTheme="majorEastAsia" w:cstheme="majorBidi"/>
          <w:bCs/>
        </w:rPr>
        <w:t xml:space="preserve">. </w:t>
      </w:r>
      <w:r w:rsidRPr="00895B32">
        <w:rPr>
          <w:rFonts w:eastAsiaTheme="majorEastAsia" w:cstheme="majorBidi"/>
          <w:bCs/>
        </w:rPr>
        <w:t xml:space="preserve"> </w:t>
      </w:r>
    </w:p>
    <w:p w:rsidR="002325B3" w:rsidRDefault="002325B3" w:rsidP="00F064E4">
      <w:pPr>
        <w:rPr>
          <w:rFonts w:eastAsia="Times New Roman" w:cs="Arial"/>
          <w:b/>
          <w:sz w:val="24"/>
          <w:szCs w:val="24"/>
          <w:lang w:eastAsia="en-AU"/>
        </w:rPr>
      </w:pPr>
    </w:p>
    <w:p w:rsidR="002325B3" w:rsidRDefault="002325B3" w:rsidP="00F064E4">
      <w:pPr>
        <w:rPr>
          <w:rFonts w:eastAsia="Times New Roman" w:cs="Arial"/>
          <w:b/>
          <w:sz w:val="24"/>
          <w:szCs w:val="24"/>
          <w:lang w:eastAsia="en-AU"/>
        </w:rPr>
      </w:pPr>
    </w:p>
    <w:p w:rsidR="002325B3" w:rsidRDefault="002325B3" w:rsidP="00F064E4">
      <w:pPr>
        <w:rPr>
          <w:rFonts w:eastAsia="Times New Roman" w:cs="Arial"/>
          <w:b/>
          <w:sz w:val="24"/>
          <w:szCs w:val="24"/>
          <w:lang w:eastAsia="en-AU"/>
        </w:rPr>
      </w:pPr>
    </w:p>
    <w:p w:rsidR="00F064E4" w:rsidRDefault="00F064E4" w:rsidP="00F064E4">
      <w:pPr>
        <w:rPr>
          <w:rFonts w:eastAsia="Times New Roman" w:cs="Arial"/>
          <w:b/>
          <w:sz w:val="24"/>
          <w:szCs w:val="24"/>
          <w:lang w:eastAsia="en-AU"/>
        </w:rPr>
      </w:pPr>
      <w:r w:rsidRPr="002D3EB9">
        <w:rPr>
          <w:rFonts w:eastAsia="Times New Roman" w:cs="Arial"/>
          <w:b/>
          <w:sz w:val="24"/>
          <w:szCs w:val="24"/>
          <w:lang w:eastAsia="en-AU"/>
        </w:rPr>
        <w:t>Receipt, handling and distribution of goods</w:t>
      </w:r>
    </w:p>
    <w:p w:rsidR="00F064E4" w:rsidRPr="00895B32" w:rsidRDefault="00F064E4" w:rsidP="00F064E4">
      <w:pPr>
        <w:spacing w:line="240" w:lineRule="auto"/>
        <w:rPr>
          <w:rFonts w:eastAsiaTheme="majorEastAsia" w:cstheme="majorBidi"/>
          <w:b/>
          <w:bCs/>
          <w:color w:val="003B5C"/>
        </w:rPr>
      </w:pPr>
      <w:r w:rsidRPr="00895B32">
        <w:rPr>
          <w:rFonts w:eastAsiaTheme="majorEastAsia" w:cstheme="majorBidi"/>
          <w:bCs/>
        </w:rPr>
        <w:t>Logistics</w:t>
      </w:r>
      <w:r w:rsidRPr="00271098">
        <w:rPr>
          <w:rFonts w:eastAsiaTheme="majorEastAsia" w:cstheme="majorBidi"/>
          <w:bCs/>
        </w:rPr>
        <w:t xml:space="preserve"> </w:t>
      </w:r>
      <w:r w:rsidRPr="00895B32">
        <w:rPr>
          <w:rFonts w:eastAsiaTheme="majorEastAsia" w:cstheme="majorBidi"/>
          <w:bCs/>
        </w:rPr>
        <w:t>personnel accept goods on assessment, i.e. the number of packages and / or containers, compared with the delivery documentation, and their condition on arrival. Logistics personnel will not open packages to check the quantity or condition of contents.</w:t>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 xml:space="preserve">Any discrepancies or damage to goods or packaging must be highlighted to the delivery driver and details of the </w:t>
      </w:r>
      <w:r w:rsidRPr="00795BC4">
        <w:t>discrepancy</w:t>
      </w:r>
      <w:r w:rsidRPr="00895B32">
        <w:rPr>
          <w:rFonts w:eastAsiaTheme="majorEastAsia" w:cstheme="majorBidi"/>
          <w:bCs/>
        </w:rPr>
        <w:t xml:space="preserve"> or damage must be annotated on the drivers’ copy of the delivery documentation.</w:t>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 xml:space="preserve">It is the </w:t>
      </w:r>
      <w:r w:rsidRPr="00795BC4">
        <w:t>responsibility</w:t>
      </w:r>
      <w:r w:rsidRPr="00895B32">
        <w:rPr>
          <w:rFonts w:eastAsiaTheme="majorEastAsia" w:cstheme="majorBidi"/>
          <w:bCs/>
        </w:rPr>
        <w:t xml:space="preserve"> of the contractor/client to ensure that all goods are correctly addressed. Logistic personnel are empowered to reject any deliveries when the intended recipient cannot be ascertained from the delivery documentation, package markings or delivery advice.</w:t>
      </w:r>
    </w:p>
    <w:p w:rsidR="00F064E4" w:rsidRDefault="00F064E4" w:rsidP="00F064E4">
      <w:pPr>
        <w:spacing w:line="240" w:lineRule="auto"/>
      </w:pPr>
      <w:r w:rsidRPr="00895B32">
        <w:rPr>
          <w:rFonts w:eastAsiaTheme="majorEastAsia" w:cstheme="majorBidi"/>
          <w:bCs/>
        </w:rPr>
        <w:t xml:space="preserve">It is the </w:t>
      </w:r>
      <w:r w:rsidRPr="00795BC4">
        <w:t>responsibility</w:t>
      </w:r>
      <w:r w:rsidRPr="00895B32">
        <w:rPr>
          <w:rFonts w:eastAsiaTheme="majorEastAsia" w:cstheme="majorBidi"/>
          <w:bCs/>
        </w:rPr>
        <w:t xml:space="preserve"> of those delivering or the receiving the goods to handle delivered items on and off the x-ray machine, and/or on and off trailers or pallets.  </w:t>
      </w:r>
      <w:r w:rsidRPr="00895B32">
        <w:t xml:space="preserve">In view of that clients should arrive with enough people to facilitate this. </w:t>
      </w:r>
    </w:p>
    <w:p w:rsidR="00F064E4" w:rsidRPr="00895B32" w:rsidRDefault="00F064E4" w:rsidP="00F064E4">
      <w:pPr>
        <w:spacing w:line="240" w:lineRule="auto"/>
        <w:rPr>
          <w:rFonts w:eastAsiaTheme="majorEastAsia" w:cstheme="majorBidi"/>
          <w:bCs/>
        </w:rPr>
      </w:pPr>
      <w:r w:rsidRPr="00895B32">
        <w:rPr>
          <w:rFonts w:eastAsiaTheme="majorEastAsia" w:cstheme="majorBidi"/>
          <w:b/>
          <w:bCs/>
        </w:rPr>
        <w:t xml:space="preserve">Logistics </w:t>
      </w:r>
      <w:r w:rsidRPr="00271098">
        <w:rPr>
          <w:rFonts w:eastAsiaTheme="majorEastAsia" w:cstheme="majorBidi"/>
          <w:b/>
          <w:bCs/>
        </w:rPr>
        <w:t>Personnel</w:t>
      </w:r>
      <w:r w:rsidRPr="00895B32">
        <w:rPr>
          <w:rFonts w:eastAsiaTheme="majorEastAsia" w:cstheme="majorBidi"/>
          <w:b/>
          <w:bCs/>
        </w:rPr>
        <w:t xml:space="preserve"> do not handle delivered items, on and off the x-ray machine, or on and off trailers or pallets.</w:t>
      </w:r>
      <w:r w:rsidRPr="00895B32">
        <w:rPr>
          <w:rFonts w:eastAsiaTheme="majorEastAsia" w:cstheme="majorBidi"/>
          <w:bCs/>
        </w:rPr>
        <w:t xml:space="preserve"> </w:t>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Trailers must be unloaded as soon as possible after delivery and the Loading Dock notified once empty.</w:t>
      </w:r>
    </w:p>
    <w:p w:rsidR="00F064E4" w:rsidRPr="00895B32" w:rsidRDefault="00F064E4" w:rsidP="00F064E4">
      <w:pPr>
        <w:spacing w:line="240" w:lineRule="auto"/>
        <w:rPr>
          <w:rFonts w:eastAsiaTheme="majorEastAsia" w:cstheme="majorBidi"/>
          <w:bCs/>
        </w:rPr>
      </w:pPr>
      <w:r w:rsidRPr="00895B32">
        <w:rPr>
          <w:rFonts w:eastAsiaTheme="majorEastAsia" w:cstheme="majorBidi"/>
          <w:bCs/>
        </w:rPr>
        <w:t xml:space="preserve">Trailers are </w:t>
      </w:r>
      <w:r w:rsidRPr="00795BC4">
        <w:t>not</w:t>
      </w:r>
      <w:r w:rsidRPr="00895B32">
        <w:rPr>
          <w:rFonts w:eastAsiaTheme="majorEastAsia" w:cstheme="majorBidi"/>
          <w:bCs/>
        </w:rPr>
        <w:t xml:space="preserve"> be used for storage of goods / equipment long term or overnight, without the consent of the Logistics Team.</w:t>
      </w:r>
    </w:p>
    <w:p w:rsidR="00F064E4" w:rsidRDefault="00F064E4" w:rsidP="00F064E4">
      <w:pPr>
        <w:spacing w:line="240" w:lineRule="auto"/>
        <w:rPr>
          <w:rFonts w:eastAsiaTheme="majorEastAsia" w:cstheme="majorBidi"/>
          <w:bCs/>
        </w:rPr>
      </w:pPr>
      <w:r w:rsidRPr="00895B32">
        <w:rPr>
          <w:rFonts w:eastAsiaTheme="majorEastAsia" w:cstheme="majorBidi"/>
          <w:bCs/>
        </w:rPr>
        <w:t xml:space="preserve">APH has </w:t>
      </w:r>
      <w:r w:rsidRPr="00795BC4">
        <w:t>limited</w:t>
      </w:r>
      <w:r w:rsidRPr="00895B32">
        <w:rPr>
          <w:rFonts w:eastAsiaTheme="majorEastAsia" w:cstheme="majorBidi"/>
          <w:bCs/>
        </w:rPr>
        <w:t xml:space="preserve"> onsite storage which is available at the discretion of DPS. Materials should be stored offsite where possible.</w:t>
      </w:r>
    </w:p>
    <w:p w:rsidR="00BF5332" w:rsidRDefault="00BF5332" w:rsidP="00F064E4">
      <w:pPr>
        <w:spacing w:line="240" w:lineRule="auto"/>
        <w:rPr>
          <w:rFonts w:eastAsiaTheme="majorEastAsia" w:cstheme="majorBidi"/>
          <w:b/>
          <w:bCs/>
        </w:rPr>
      </w:pPr>
      <w:r>
        <w:rPr>
          <w:rFonts w:eastAsiaTheme="majorEastAsia" w:cstheme="majorBidi"/>
          <w:b/>
          <w:bCs/>
        </w:rPr>
        <w:t>Goods Lift</w:t>
      </w:r>
    </w:p>
    <w:p w:rsidR="00BF5332" w:rsidRDefault="00BF5332" w:rsidP="00F064E4">
      <w:pPr>
        <w:spacing w:line="240" w:lineRule="auto"/>
        <w:rPr>
          <w:rFonts w:eastAsiaTheme="majorEastAsia" w:cstheme="majorBidi"/>
          <w:bCs/>
        </w:rPr>
      </w:pPr>
      <w:r>
        <w:rPr>
          <w:rFonts w:eastAsiaTheme="majorEastAsia" w:cstheme="majorBidi"/>
          <w:bCs/>
        </w:rPr>
        <w:t xml:space="preserve">The dimensions of the Goods Lift are: </w:t>
      </w:r>
    </w:p>
    <w:p w:rsidR="00BF5332" w:rsidRDefault="00BF5332" w:rsidP="00F064E4">
      <w:pPr>
        <w:spacing w:line="240" w:lineRule="auto"/>
        <w:rPr>
          <w:rFonts w:eastAsiaTheme="majorEastAsia" w:cstheme="majorBidi"/>
          <w:bCs/>
        </w:rPr>
      </w:pPr>
      <w:r>
        <w:rPr>
          <w:rFonts w:eastAsiaTheme="majorEastAsia" w:cstheme="majorBidi"/>
          <w:bCs/>
        </w:rPr>
        <w:t>Width 2400 x height 3500 x depth 3000</w:t>
      </w:r>
    </w:p>
    <w:p w:rsidR="00F064E4" w:rsidRDefault="00BF5332" w:rsidP="00BF5332">
      <w:pPr>
        <w:spacing w:line="240" w:lineRule="auto"/>
      </w:pPr>
      <w:r>
        <w:rPr>
          <w:rFonts w:eastAsiaTheme="majorEastAsia" w:cstheme="majorBidi"/>
          <w:bCs/>
        </w:rPr>
        <w:t xml:space="preserve">The goods lift has 4000kg capacity </w:t>
      </w:r>
    </w:p>
    <w:p w:rsidR="00F064E4" w:rsidRDefault="00F064E4"/>
    <w:p w:rsidR="00F064E4" w:rsidRDefault="00F064E4"/>
    <w:p w:rsidR="00F064E4" w:rsidRDefault="00F064E4"/>
    <w:p w:rsidR="00F064E4" w:rsidRDefault="00F064E4"/>
    <w:p w:rsidR="00F064E4" w:rsidRDefault="00F064E4"/>
    <w:p w:rsidR="00F064E4" w:rsidRDefault="00F064E4"/>
    <w:p w:rsidR="00F064E4" w:rsidRDefault="00F064E4"/>
    <w:p w:rsidR="00F064E4" w:rsidRDefault="00F064E4"/>
    <w:p w:rsidR="00F064E4" w:rsidRDefault="00F064E4" w:rsidP="00F064E4">
      <w:pPr>
        <w:ind w:left="567" w:hanging="567"/>
        <w:rPr>
          <w:rFonts w:eastAsia="Times New Roman" w:cs="Arial"/>
          <w:b/>
          <w:sz w:val="24"/>
          <w:szCs w:val="24"/>
          <w:lang w:eastAsia="en-AU"/>
        </w:rPr>
      </w:pPr>
      <w:bookmarkStart w:id="0" w:name="_GoBack"/>
      <w:bookmarkEnd w:id="0"/>
      <w:r w:rsidRPr="00080365">
        <w:rPr>
          <w:rFonts w:eastAsia="Times New Roman" w:cs="Arial"/>
          <w:b/>
          <w:sz w:val="24"/>
          <w:szCs w:val="24"/>
          <w:lang w:eastAsia="en-AU"/>
        </w:rPr>
        <w:t>Logistics’ Trailer information</w:t>
      </w:r>
    </w:p>
    <w:tbl>
      <w:tblPr>
        <w:tblStyle w:val="TableGrid"/>
        <w:tblW w:w="0" w:type="auto"/>
        <w:tblInd w:w="108" w:type="dxa"/>
        <w:tblLook w:val="04A0" w:firstRow="1" w:lastRow="0" w:firstColumn="1" w:lastColumn="0" w:noHBand="0" w:noVBand="1"/>
      </w:tblPr>
      <w:tblGrid>
        <w:gridCol w:w="4962"/>
        <w:gridCol w:w="1134"/>
        <w:gridCol w:w="2976"/>
      </w:tblGrid>
      <w:tr w:rsidR="00F064E4" w:rsidTr="00A5700E">
        <w:tc>
          <w:tcPr>
            <w:tcW w:w="4962" w:type="dxa"/>
          </w:tcPr>
          <w:p w:rsidR="00F064E4" w:rsidRDefault="00F064E4" w:rsidP="00A5700E">
            <w:pPr>
              <w:rPr>
                <w:rFonts w:eastAsia="Times New Roman" w:cs="Arial"/>
                <w:b/>
                <w:sz w:val="24"/>
                <w:szCs w:val="24"/>
                <w:lang w:eastAsia="en-AU"/>
              </w:rPr>
            </w:pPr>
            <w:r>
              <w:rPr>
                <w:rFonts w:eastAsia="Times New Roman" w:cs="Arial"/>
                <w:b/>
                <w:sz w:val="24"/>
                <w:szCs w:val="24"/>
                <w:lang w:eastAsia="en-AU"/>
              </w:rPr>
              <w:t xml:space="preserve">Type </w:t>
            </w:r>
          </w:p>
        </w:tc>
        <w:tc>
          <w:tcPr>
            <w:tcW w:w="1134" w:type="dxa"/>
          </w:tcPr>
          <w:p w:rsidR="00F064E4" w:rsidRDefault="00F064E4" w:rsidP="00A5700E">
            <w:pPr>
              <w:rPr>
                <w:rFonts w:eastAsia="Times New Roman" w:cs="Arial"/>
                <w:b/>
                <w:sz w:val="24"/>
                <w:szCs w:val="24"/>
                <w:lang w:eastAsia="en-AU"/>
              </w:rPr>
            </w:pPr>
            <w:r>
              <w:rPr>
                <w:rFonts w:eastAsia="Times New Roman" w:cs="Arial"/>
                <w:b/>
                <w:sz w:val="24"/>
                <w:szCs w:val="24"/>
                <w:lang w:eastAsia="en-AU"/>
              </w:rPr>
              <w:t xml:space="preserve">Number </w:t>
            </w:r>
          </w:p>
        </w:tc>
        <w:tc>
          <w:tcPr>
            <w:tcW w:w="2976" w:type="dxa"/>
          </w:tcPr>
          <w:p w:rsidR="00F064E4" w:rsidRDefault="00F064E4" w:rsidP="00A5700E">
            <w:pPr>
              <w:rPr>
                <w:rFonts w:eastAsia="Times New Roman" w:cs="Arial"/>
                <w:b/>
                <w:sz w:val="24"/>
                <w:szCs w:val="24"/>
                <w:lang w:eastAsia="en-AU"/>
              </w:rPr>
            </w:pPr>
            <w:r>
              <w:rPr>
                <w:rFonts w:eastAsia="Times New Roman" w:cs="Arial"/>
                <w:b/>
                <w:sz w:val="24"/>
                <w:szCs w:val="24"/>
                <w:lang w:eastAsia="en-AU"/>
              </w:rPr>
              <w:t>Data</w:t>
            </w:r>
          </w:p>
        </w:tc>
      </w:tr>
      <w:tr w:rsidR="00F064E4" w:rsidTr="00A5700E">
        <w:tc>
          <w:tcPr>
            <w:tcW w:w="4962" w:type="dxa"/>
          </w:tcPr>
          <w:p w:rsidR="00F064E4" w:rsidRDefault="00F064E4" w:rsidP="00A5700E">
            <w:pPr>
              <w:rPr>
                <w:noProof/>
                <w:lang w:eastAsia="en-AU"/>
              </w:rPr>
            </w:pPr>
            <w:r>
              <w:rPr>
                <w:noProof/>
                <w:lang w:eastAsia="en-AU"/>
              </w:rPr>
              <w:t xml:space="preserve">Large </w:t>
            </w:r>
          </w:p>
          <w:p w:rsidR="00F064E4" w:rsidRDefault="00F064E4" w:rsidP="00A5700E">
            <w:pPr>
              <w:rPr>
                <w:noProof/>
                <w:lang w:eastAsia="en-AU"/>
              </w:rPr>
            </w:pPr>
          </w:p>
          <w:p w:rsidR="00F064E4" w:rsidRDefault="00F064E4" w:rsidP="00A5700E">
            <w:pPr>
              <w:rPr>
                <w:rFonts w:eastAsia="Times New Roman" w:cs="Arial"/>
                <w:b/>
                <w:sz w:val="24"/>
                <w:szCs w:val="24"/>
                <w:lang w:eastAsia="en-AU"/>
              </w:rPr>
            </w:pPr>
            <w:r w:rsidRPr="00895B32">
              <w:rPr>
                <w:noProof/>
                <w:lang w:eastAsia="en-AU"/>
              </w:rPr>
              <w:drawing>
                <wp:inline distT="0" distB="0" distL="0" distR="0" wp14:anchorId="2B3D116C" wp14:editId="60D22B6F">
                  <wp:extent cx="2914650" cy="1981200"/>
                  <wp:effectExtent l="0" t="0" r="0" b="0"/>
                  <wp:docPr id="1" name="Picture 1" descr="20181116_09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81116_09235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64" r="11329"/>
                          <a:stretch/>
                        </pic:blipFill>
                        <pic:spPr bwMode="auto">
                          <a:xfrm>
                            <a:off x="0" y="0"/>
                            <a:ext cx="2916518" cy="19824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34" w:type="dxa"/>
          </w:tcPr>
          <w:p w:rsidR="00F064E4" w:rsidRPr="00895B32" w:rsidRDefault="00F064E4" w:rsidP="00A5700E">
            <w:pPr>
              <w:spacing w:after="200" w:line="276" w:lineRule="auto"/>
              <w:ind w:left="567" w:hanging="567"/>
              <w:contextualSpacing/>
            </w:pPr>
            <w:r>
              <w:t>14</w:t>
            </w:r>
          </w:p>
        </w:tc>
        <w:tc>
          <w:tcPr>
            <w:tcW w:w="2976" w:type="dxa"/>
          </w:tcPr>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Maximum Load</w:t>
            </w:r>
            <w:r>
              <w:t>: 1000</w:t>
            </w:r>
            <w:r w:rsidRPr="00895B32">
              <w:t>kgs</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Load deck width</w:t>
            </w:r>
            <w:r>
              <w:t xml:space="preserve"> 1380mm</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Load deck length 2200mm</w:t>
            </w:r>
          </w:p>
          <w:p w:rsidR="00F064E4" w:rsidRPr="00895B32" w:rsidRDefault="00F064E4" w:rsidP="00F064E4">
            <w:pPr>
              <w:pStyle w:val="ListParagraph"/>
              <w:numPr>
                <w:ilvl w:val="0"/>
                <w:numId w:val="3"/>
              </w:numPr>
              <w:autoSpaceDE/>
              <w:autoSpaceDN/>
              <w:adjustRightInd/>
              <w:spacing w:before="0" w:after="200" w:line="276" w:lineRule="auto"/>
              <w:contextualSpacing/>
            </w:pPr>
            <w:r>
              <w:t>Gate Height 780</w:t>
            </w:r>
            <w:r w:rsidRPr="00895B32">
              <w:t>mm</w:t>
            </w:r>
          </w:p>
          <w:p w:rsidR="00F064E4" w:rsidRDefault="00F064E4" w:rsidP="00F064E4">
            <w:pPr>
              <w:pStyle w:val="ListParagraph"/>
              <w:numPr>
                <w:ilvl w:val="0"/>
                <w:numId w:val="3"/>
              </w:numPr>
              <w:autoSpaceDE/>
              <w:autoSpaceDN/>
              <w:adjustRightInd/>
              <w:spacing w:before="0" w:after="200" w:line="276" w:lineRule="auto"/>
              <w:contextualSpacing/>
              <w:rPr>
                <w:rFonts w:eastAsia="Times New Roman" w:cs="Arial"/>
                <w:b/>
                <w:sz w:val="24"/>
                <w:szCs w:val="24"/>
                <w:lang w:eastAsia="en-AU"/>
              </w:rPr>
            </w:pPr>
            <w:r w:rsidRPr="00895B32">
              <w:t>Deck Height</w:t>
            </w:r>
            <w:r w:rsidRPr="00895B32">
              <w:tab/>
            </w:r>
            <w:r>
              <w:t xml:space="preserve"> </w:t>
            </w:r>
            <w:r w:rsidRPr="00080365">
              <w:t>624mm</w:t>
            </w:r>
          </w:p>
        </w:tc>
      </w:tr>
      <w:tr w:rsidR="00F064E4" w:rsidTr="00A5700E">
        <w:tc>
          <w:tcPr>
            <w:tcW w:w="4962" w:type="dxa"/>
          </w:tcPr>
          <w:p w:rsidR="00F064E4" w:rsidRDefault="00F064E4" w:rsidP="00A5700E"/>
          <w:p w:rsidR="00F064E4" w:rsidRDefault="00F064E4" w:rsidP="00A5700E">
            <w:r w:rsidRPr="00895B32">
              <w:t>Flatbed Trailers</w:t>
            </w:r>
          </w:p>
          <w:p w:rsidR="00F064E4" w:rsidRDefault="00F064E4" w:rsidP="00A5700E"/>
          <w:p w:rsidR="00F064E4" w:rsidRDefault="00F064E4" w:rsidP="00A5700E">
            <w:pPr>
              <w:rPr>
                <w:rFonts w:eastAsia="Times New Roman" w:cs="Arial"/>
                <w:b/>
                <w:sz w:val="24"/>
                <w:szCs w:val="24"/>
                <w:lang w:eastAsia="en-AU"/>
              </w:rPr>
            </w:pPr>
            <w:r w:rsidRPr="00895B32">
              <w:rPr>
                <w:noProof/>
                <w:lang w:eastAsia="en-AU"/>
              </w:rPr>
              <w:drawing>
                <wp:inline distT="0" distB="0" distL="0" distR="0" wp14:anchorId="79D91AEF" wp14:editId="18EB4C52">
                  <wp:extent cx="2914650" cy="1797907"/>
                  <wp:effectExtent l="0" t="0" r="0" b="0"/>
                  <wp:docPr id="2" name="Picture 2" descr="20181116_09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81116_09094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4045"/>
                          <a:stretch/>
                        </pic:blipFill>
                        <pic:spPr bwMode="auto">
                          <a:xfrm>
                            <a:off x="0" y="0"/>
                            <a:ext cx="2917379" cy="17995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34" w:type="dxa"/>
          </w:tcPr>
          <w:p w:rsidR="00F064E4" w:rsidRDefault="00F064E4" w:rsidP="00A5700E">
            <w:pPr>
              <w:rPr>
                <w:rFonts w:eastAsia="Times New Roman" w:cs="Arial"/>
                <w:b/>
                <w:sz w:val="24"/>
                <w:szCs w:val="24"/>
                <w:lang w:eastAsia="en-AU"/>
              </w:rPr>
            </w:pPr>
            <w:r w:rsidRPr="00895B32">
              <w:t>3</w:t>
            </w:r>
          </w:p>
        </w:tc>
        <w:tc>
          <w:tcPr>
            <w:tcW w:w="2976" w:type="dxa"/>
          </w:tcPr>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Maximum</w:t>
            </w:r>
            <w:r>
              <w:t xml:space="preserve"> Load </w:t>
            </w:r>
            <w:r w:rsidRPr="00895B32">
              <w:t>1000kgs</w:t>
            </w:r>
          </w:p>
          <w:p w:rsidR="00F064E4" w:rsidRPr="00895B32" w:rsidRDefault="00F064E4" w:rsidP="00F064E4">
            <w:pPr>
              <w:pStyle w:val="ListParagraph"/>
              <w:numPr>
                <w:ilvl w:val="0"/>
                <w:numId w:val="3"/>
              </w:numPr>
              <w:autoSpaceDE/>
              <w:autoSpaceDN/>
              <w:adjustRightInd/>
              <w:spacing w:before="0" w:after="200" w:line="276" w:lineRule="auto"/>
              <w:contextualSpacing/>
            </w:pPr>
            <w:r>
              <w:t>Load deck width 1450</w:t>
            </w:r>
            <w:r w:rsidRPr="00895B32">
              <w:t>mm</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Load deck length 2400mm</w:t>
            </w:r>
          </w:p>
          <w:p w:rsidR="00F064E4" w:rsidRDefault="00F064E4" w:rsidP="00F064E4">
            <w:pPr>
              <w:pStyle w:val="ListParagraph"/>
              <w:numPr>
                <w:ilvl w:val="0"/>
                <w:numId w:val="3"/>
              </w:numPr>
              <w:autoSpaceDE/>
              <w:autoSpaceDN/>
              <w:adjustRightInd/>
              <w:spacing w:before="0" w:after="200" w:line="276" w:lineRule="auto"/>
              <w:contextualSpacing/>
              <w:rPr>
                <w:rFonts w:eastAsia="Times New Roman" w:cs="Arial"/>
                <w:b/>
                <w:sz w:val="24"/>
                <w:szCs w:val="24"/>
                <w:lang w:eastAsia="en-AU"/>
              </w:rPr>
            </w:pPr>
            <w:r w:rsidRPr="00895B32">
              <w:t>Deck Height 600 mm</w:t>
            </w:r>
          </w:p>
        </w:tc>
      </w:tr>
      <w:tr w:rsidR="00F064E4" w:rsidTr="00A5700E">
        <w:tc>
          <w:tcPr>
            <w:tcW w:w="4962" w:type="dxa"/>
          </w:tcPr>
          <w:p w:rsidR="00F064E4" w:rsidRDefault="00F064E4" w:rsidP="00A5700E">
            <w:pPr>
              <w:rPr>
                <w:noProof/>
                <w:lang w:eastAsia="en-AU"/>
              </w:rPr>
            </w:pPr>
          </w:p>
          <w:p w:rsidR="00F064E4" w:rsidRDefault="00F064E4" w:rsidP="00A5700E">
            <w:pPr>
              <w:rPr>
                <w:noProof/>
                <w:lang w:eastAsia="en-AU"/>
              </w:rPr>
            </w:pPr>
            <w:r w:rsidRPr="00080365">
              <w:rPr>
                <w:noProof/>
                <w:lang w:eastAsia="en-AU"/>
              </w:rPr>
              <w:t>Small caged Trailers (only available on request)</w:t>
            </w:r>
          </w:p>
          <w:p w:rsidR="00F064E4" w:rsidRPr="00895B32" w:rsidRDefault="00F064E4" w:rsidP="00A5700E">
            <w:pPr>
              <w:rPr>
                <w:color w:val="002060"/>
              </w:rPr>
            </w:pPr>
          </w:p>
          <w:p w:rsidR="00F064E4" w:rsidRDefault="00F064E4" w:rsidP="00A5700E">
            <w:pPr>
              <w:rPr>
                <w:rFonts w:eastAsia="Times New Roman" w:cs="Arial"/>
                <w:b/>
                <w:sz w:val="24"/>
                <w:szCs w:val="24"/>
                <w:lang w:eastAsia="en-AU"/>
              </w:rPr>
            </w:pPr>
            <w:r w:rsidRPr="00895B32">
              <w:rPr>
                <w:noProof/>
                <w:lang w:eastAsia="en-AU"/>
              </w:rPr>
              <w:drawing>
                <wp:inline distT="0" distB="0" distL="0" distR="0" wp14:anchorId="15DBA542" wp14:editId="265F82AF">
                  <wp:extent cx="2914650" cy="1771268"/>
                  <wp:effectExtent l="0" t="0" r="0" b="635"/>
                  <wp:docPr id="4" name="Picture 4" descr="C:\Users\fenechm\AppData\Local\Microsoft\Windows\Temporary Internet Files\Content.Word\20181116_090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fenechm\AppData\Local\Microsoft\Windows\Temporary Internet Files\Content.Word\20181116_09085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941" r="13110"/>
                          <a:stretch/>
                        </pic:blipFill>
                        <pic:spPr bwMode="auto">
                          <a:xfrm>
                            <a:off x="0" y="0"/>
                            <a:ext cx="2914310" cy="1771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34" w:type="dxa"/>
          </w:tcPr>
          <w:p w:rsidR="00F064E4" w:rsidRDefault="00F064E4" w:rsidP="00A5700E">
            <w:pPr>
              <w:rPr>
                <w:rFonts w:eastAsia="Times New Roman" w:cs="Arial"/>
                <w:b/>
                <w:sz w:val="24"/>
                <w:szCs w:val="24"/>
                <w:lang w:eastAsia="en-AU"/>
              </w:rPr>
            </w:pPr>
          </w:p>
        </w:tc>
        <w:tc>
          <w:tcPr>
            <w:tcW w:w="2976" w:type="dxa"/>
          </w:tcPr>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Maximum Load</w:t>
            </w:r>
            <w:r>
              <w:t xml:space="preserve"> 600k</w:t>
            </w:r>
            <w:r w:rsidRPr="00895B32">
              <w:t>gs</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Load deck width 940mm</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Load deck length</w:t>
            </w:r>
            <w:r>
              <w:t xml:space="preserve"> </w:t>
            </w:r>
            <w:r w:rsidRPr="00895B32">
              <w:t>1930mm</w:t>
            </w:r>
          </w:p>
          <w:p w:rsidR="00F064E4" w:rsidRPr="00895B32" w:rsidRDefault="00F064E4" w:rsidP="00F064E4">
            <w:pPr>
              <w:pStyle w:val="ListParagraph"/>
              <w:numPr>
                <w:ilvl w:val="0"/>
                <w:numId w:val="3"/>
              </w:numPr>
              <w:autoSpaceDE/>
              <w:autoSpaceDN/>
              <w:adjustRightInd/>
              <w:spacing w:before="0" w:after="200" w:line="276" w:lineRule="auto"/>
              <w:contextualSpacing/>
            </w:pPr>
            <w:r w:rsidRPr="00895B32">
              <w:t>Gate Height</w:t>
            </w:r>
            <w:r>
              <w:t xml:space="preserve"> 630</w:t>
            </w:r>
            <w:r w:rsidRPr="00895B32">
              <w:t>mm</w:t>
            </w:r>
          </w:p>
          <w:p w:rsidR="00F064E4" w:rsidRDefault="00F064E4" w:rsidP="00A5700E">
            <w:pPr>
              <w:rPr>
                <w:rFonts w:eastAsia="Times New Roman" w:cs="Arial"/>
                <w:b/>
                <w:sz w:val="24"/>
                <w:szCs w:val="24"/>
                <w:lang w:eastAsia="en-AU"/>
              </w:rPr>
            </w:pPr>
          </w:p>
        </w:tc>
      </w:tr>
    </w:tbl>
    <w:p w:rsidR="00F064E4" w:rsidRDefault="00F064E4"/>
    <w:sectPr w:rsidR="00F064E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4E4" w:rsidRDefault="00F064E4" w:rsidP="00F064E4">
      <w:pPr>
        <w:spacing w:after="0" w:line="240" w:lineRule="auto"/>
      </w:pPr>
      <w:r>
        <w:separator/>
      </w:r>
    </w:p>
  </w:endnote>
  <w:endnote w:type="continuationSeparator" w:id="0">
    <w:p w:rsidR="00F064E4" w:rsidRDefault="00F064E4" w:rsidP="00F0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4E4" w:rsidRDefault="00F064E4" w:rsidP="00F064E4">
      <w:pPr>
        <w:spacing w:after="0" w:line="240" w:lineRule="auto"/>
      </w:pPr>
      <w:r>
        <w:separator/>
      </w:r>
    </w:p>
  </w:footnote>
  <w:footnote w:type="continuationSeparator" w:id="0">
    <w:p w:rsidR="00F064E4" w:rsidRDefault="00F064E4" w:rsidP="00F064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Header"/>
    </w:pPr>
    <w:r>
      <w:rPr>
        <w:rFonts w:hint="eastAsia"/>
        <w:noProof/>
        <w:lang w:eastAsia="en-AU"/>
      </w:rPr>
      <w:drawing>
        <wp:inline distT="0" distB="0" distL="0" distR="0" wp14:anchorId="1876FF75" wp14:editId="2832E281">
          <wp:extent cx="4334510" cy="6096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4510" cy="60960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4E4" w:rsidRDefault="00F064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75B3"/>
    <w:multiLevelType w:val="hybridMultilevel"/>
    <w:tmpl w:val="417C8E7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707D4203"/>
    <w:multiLevelType w:val="hybridMultilevel"/>
    <w:tmpl w:val="0EEE062E"/>
    <w:lvl w:ilvl="0" w:tplc="81122248">
      <w:start w:val="1"/>
      <w:numFmt w:val="decimal"/>
      <w:pStyle w:val="ListParagraph"/>
      <w:lvlText w:val="%1"/>
      <w:lvlJc w:val="left"/>
      <w:pPr>
        <w:ind w:left="851" w:hanging="567"/>
      </w:pPr>
      <w:rPr>
        <w:rFonts w:hint="default"/>
        <w:b w:val="0"/>
        <w:i w:val="0"/>
        <w:color w:val="auto"/>
        <w:sz w:val="22"/>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780772F2"/>
    <w:multiLevelType w:val="hybridMultilevel"/>
    <w:tmpl w:val="EF262AA2"/>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E4"/>
    <w:rsid w:val="002325B3"/>
    <w:rsid w:val="006B037C"/>
    <w:rsid w:val="00887972"/>
    <w:rsid w:val="00BF5332"/>
    <w:rsid w:val="00D8687B"/>
    <w:rsid w:val="00F064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4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PSHeading1">
    <w:name w:val="DPS Heading 1"/>
    <w:basedOn w:val="Normal"/>
    <w:next w:val="Normal"/>
    <w:qFormat/>
    <w:rsid w:val="00F064E4"/>
    <w:pPr>
      <w:spacing w:before="220" w:after="0" w:line="240" w:lineRule="auto"/>
    </w:pPr>
    <w:rPr>
      <w:rFonts w:ascii="Arial" w:eastAsia="Times New Roman" w:hAnsi="Arial" w:cs="Arial"/>
      <w:b/>
      <w:sz w:val="32"/>
      <w:szCs w:val="32"/>
      <w:lang w:eastAsia="en-AU"/>
    </w:rPr>
  </w:style>
  <w:style w:type="paragraph" w:customStyle="1" w:styleId="DPSHeading2">
    <w:name w:val="DPS Heading 2"/>
    <w:basedOn w:val="Normal"/>
    <w:next w:val="Normal"/>
    <w:qFormat/>
    <w:rsid w:val="00F064E4"/>
    <w:pPr>
      <w:spacing w:before="200" w:after="0" w:line="240" w:lineRule="auto"/>
    </w:pPr>
    <w:rPr>
      <w:rFonts w:ascii="Arial" w:eastAsia="Times New Roman" w:hAnsi="Arial" w:cs="Arial"/>
      <w:b/>
      <w:sz w:val="28"/>
      <w:szCs w:val="28"/>
      <w:lang w:eastAsia="en-AU"/>
    </w:rPr>
  </w:style>
  <w:style w:type="paragraph" w:styleId="ListParagraph">
    <w:name w:val="List Paragraph"/>
    <w:basedOn w:val="Normal"/>
    <w:link w:val="ListParagraphChar"/>
    <w:uiPriority w:val="34"/>
    <w:qFormat/>
    <w:rsid w:val="00F064E4"/>
    <w:pPr>
      <w:numPr>
        <w:numId w:val="1"/>
      </w:numPr>
      <w:autoSpaceDE w:val="0"/>
      <w:autoSpaceDN w:val="0"/>
      <w:adjustRightInd w:val="0"/>
      <w:spacing w:before="120" w:after="0" w:line="240" w:lineRule="auto"/>
    </w:pPr>
  </w:style>
  <w:style w:type="character" w:customStyle="1" w:styleId="ListParagraphChar">
    <w:name w:val="List Paragraph Char"/>
    <w:link w:val="ListParagraph"/>
    <w:uiPriority w:val="34"/>
    <w:rsid w:val="00F064E4"/>
  </w:style>
  <w:style w:type="paragraph" w:styleId="BalloonText">
    <w:name w:val="Balloon Text"/>
    <w:basedOn w:val="Normal"/>
    <w:link w:val="BalloonTextChar"/>
    <w:uiPriority w:val="99"/>
    <w:semiHidden/>
    <w:unhideWhenUsed/>
    <w:rsid w:val="00F06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4E4"/>
    <w:rPr>
      <w:rFonts w:ascii="Tahoma" w:hAnsi="Tahoma" w:cs="Tahoma"/>
      <w:sz w:val="16"/>
      <w:szCs w:val="16"/>
    </w:rPr>
  </w:style>
  <w:style w:type="table" w:styleId="TableGrid">
    <w:name w:val="Table Grid"/>
    <w:basedOn w:val="TableNormal"/>
    <w:uiPriority w:val="59"/>
    <w:rsid w:val="00F06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6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4E4"/>
  </w:style>
  <w:style w:type="paragraph" w:styleId="Footer">
    <w:name w:val="footer"/>
    <w:basedOn w:val="Normal"/>
    <w:link w:val="FooterChar"/>
    <w:uiPriority w:val="99"/>
    <w:unhideWhenUsed/>
    <w:rsid w:val="00F0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4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4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PSHeading1">
    <w:name w:val="DPS Heading 1"/>
    <w:basedOn w:val="Normal"/>
    <w:next w:val="Normal"/>
    <w:qFormat/>
    <w:rsid w:val="00F064E4"/>
    <w:pPr>
      <w:spacing w:before="220" w:after="0" w:line="240" w:lineRule="auto"/>
    </w:pPr>
    <w:rPr>
      <w:rFonts w:ascii="Arial" w:eastAsia="Times New Roman" w:hAnsi="Arial" w:cs="Arial"/>
      <w:b/>
      <w:sz w:val="32"/>
      <w:szCs w:val="32"/>
      <w:lang w:eastAsia="en-AU"/>
    </w:rPr>
  </w:style>
  <w:style w:type="paragraph" w:customStyle="1" w:styleId="DPSHeading2">
    <w:name w:val="DPS Heading 2"/>
    <w:basedOn w:val="Normal"/>
    <w:next w:val="Normal"/>
    <w:qFormat/>
    <w:rsid w:val="00F064E4"/>
    <w:pPr>
      <w:spacing w:before="200" w:after="0" w:line="240" w:lineRule="auto"/>
    </w:pPr>
    <w:rPr>
      <w:rFonts w:ascii="Arial" w:eastAsia="Times New Roman" w:hAnsi="Arial" w:cs="Arial"/>
      <w:b/>
      <w:sz w:val="28"/>
      <w:szCs w:val="28"/>
      <w:lang w:eastAsia="en-AU"/>
    </w:rPr>
  </w:style>
  <w:style w:type="paragraph" w:styleId="ListParagraph">
    <w:name w:val="List Paragraph"/>
    <w:basedOn w:val="Normal"/>
    <w:link w:val="ListParagraphChar"/>
    <w:uiPriority w:val="34"/>
    <w:qFormat/>
    <w:rsid w:val="00F064E4"/>
    <w:pPr>
      <w:numPr>
        <w:numId w:val="1"/>
      </w:numPr>
      <w:autoSpaceDE w:val="0"/>
      <w:autoSpaceDN w:val="0"/>
      <w:adjustRightInd w:val="0"/>
      <w:spacing w:before="120" w:after="0" w:line="240" w:lineRule="auto"/>
    </w:pPr>
  </w:style>
  <w:style w:type="character" w:customStyle="1" w:styleId="ListParagraphChar">
    <w:name w:val="List Paragraph Char"/>
    <w:link w:val="ListParagraph"/>
    <w:uiPriority w:val="34"/>
    <w:rsid w:val="00F064E4"/>
  </w:style>
  <w:style w:type="paragraph" w:styleId="BalloonText">
    <w:name w:val="Balloon Text"/>
    <w:basedOn w:val="Normal"/>
    <w:link w:val="BalloonTextChar"/>
    <w:uiPriority w:val="99"/>
    <w:semiHidden/>
    <w:unhideWhenUsed/>
    <w:rsid w:val="00F06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4E4"/>
    <w:rPr>
      <w:rFonts w:ascii="Tahoma" w:hAnsi="Tahoma" w:cs="Tahoma"/>
      <w:sz w:val="16"/>
      <w:szCs w:val="16"/>
    </w:rPr>
  </w:style>
  <w:style w:type="table" w:styleId="TableGrid">
    <w:name w:val="Table Grid"/>
    <w:basedOn w:val="TableNormal"/>
    <w:uiPriority w:val="59"/>
    <w:rsid w:val="00F06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6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4E4"/>
  </w:style>
  <w:style w:type="paragraph" w:styleId="Footer">
    <w:name w:val="footer"/>
    <w:basedOn w:val="Normal"/>
    <w:link w:val="FooterChar"/>
    <w:uiPriority w:val="99"/>
    <w:unhideWhenUsed/>
    <w:rsid w:val="00F0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00D81194E2DE4887013636C679AF07" ma:contentTypeVersion="10" ma:contentTypeDescription="Create a new document." ma:contentTypeScope="" ma:versionID="b22fb9d1d0a1a4dfb3a6c1bed475b676">
  <xsd:schema xmlns:xsd="http://www.w3.org/2001/XMLSchema" xmlns:xs="http://www.w3.org/2001/XMLSchema" xmlns:p="http://schemas.microsoft.com/office/2006/metadata/properties" xmlns:ns2="5f6fb465-59e8-4b2e-b14b-e031740cda17" xmlns:ns3="bf665922-40eb-4252-ae21-a64f29f23f60" targetNamespace="http://schemas.microsoft.com/office/2006/metadata/properties" ma:root="true" ma:fieldsID="c5dcde993153abbc7af6664acae99b22" ns2:_="" ns3:_="">
    <xsd:import namespace="5f6fb465-59e8-4b2e-b14b-e031740cda17"/>
    <xsd:import namespace="bf665922-40eb-4252-ae21-a64f29f23f6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6fb465-59e8-4b2e-b14b-e031740cda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665922-40eb-4252-ae21-a64f29f23f6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FEDFBD-6DB6-46D0-94F0-D00794AE27CE}"/>
</file>

<file path=customXml/itemProps2.xml><?xml version="1.0" encoding="utf-8"?>
<ds:datastoreItem xmlns:ds="http://schemas.openxmlformats.org/officeDocument/2006/customXml" ds:itemID="{DDB252A4-4893-4657-89CC-E582B7860DD7}"/>
</file>

<file path=customXml/itemProps3.xml><?xml version="1.0" encoding="utf-8"?>
<ds:datastoreItem xmlns:ds="http://schemas.openxmlformats.org/officeDocument/2006/customXml" ds:itemID="{FF52FF9E-1A4C-4237-920D-072274EA95BE}"/>
</file>

<file path=docProps/app.xml><?xml version="1.0" encoding="utf-8"?>
<Properties xmlns="http://schemas.openxmlformats.org/officeDocument/2006/extended-properties" xmlns:vt="http://schemas.openxmlformats.org/officeDocument/2006/docPropsVTypes">
  <Template>Normal.dotm</Template>
  <TotalTime>15</TotalTime>
  <Pages>4</Pages>
  <Words>764</Words>
  <Characters>3956</Characters>
  <Application>Microsoft Office Word</Application>
  <DocSecurity>0</DocSecurity>
  <Lines>123</Lines>
  <Paragraphs>72</Paragraphs>
  <ScaleCrop>false</ScaleCrop>
  <HeadingPairs>
    <vt:vector size="2" baseType="variant">
      <vt:variant>
        <vt:lpstr>Title</vt:lpstr>
      </vt:variant>
      <vt:variant>
        <vt:i4>1</vt:i4>
      </vt:variant>
    </vt:vector>
  </HeadingPairs>
  <TitlesOfParts>
    <vt:vector size="1" baseType="lpstr">
      <vt:lpstr/>
    </vt:vector>
  </TitlesOfParts>
  <Company>Parliament of Australia</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noonanr</dc:creator>
  <cp:lastModifiedBy>Boak, Robyn (DPS)</cp:lastModifiedBy>
  <cp:revision>4</cp:revision>
  <dcterms:created xsi:type="dcterms:W3CDTF">2019-01-14T04:42:00Z</dcterms:created>
  <dcterms:modified xsi:type="dcterms:W3CDTF">2019-01-15T22:32:00Z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0x0101004A00D81194E2DE4887013636C679AF07</vt:lpwstr>
  </property>
</Properties>
</file>